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3B15" w14:textId="51C3FE44" w:rsidR="00C67D72" w:rsidRPr="00B47845" w:rsidRDefault="002929E1" w:rsidP="00592E8C">
      <w:pPr>
        <w:spacing w:before="16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B47845">
        <w:rPr>
          <w:rFonts w:ascii="Arial" w:hAnsi="Arial" w:cs="Arial"/>
          <w:b/>
          <w:bCs/>
          <w:sz w:val="36"/>
          <w:szCs w:val="36"/>
        </w:rPr>
        <w:t xml:space="preserve">Ergänzendes </w:t>
      </w:r>
      <w:r w:rsidR="0058467D" w:rsidRPr="00B47845">
        <w:rPr>
          <w:rFonts w:ascii="Arial" w:hAnsi="Arial" w:cs="Arial"/>
          <w:b/>
          <w:bCs/>
          <w:sz w:val="36"/>
          <w:szCs w:val="36"/>
        </w:rPr>
        <w:t>Hinweisblatt</w:t>
      </w:r>
    </w:p>
    <w:p w14:paraId="6DF67E53" w14:textId="5522FA92" w:rsidR="00B92A5F" w:rsidRPr="00B47845" w:rsidRDefault="002771E2" w:rsidP="00592E8C">
      <w:pPr>
        <w:spacing w:before="16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B47845">
        <w:rPr>
          <w:rFonts w:ascii="Arial" w:hAnsi="Arial" w:cs="Arial"/>
          <w:b/>
          <w:bCs/>
          <w:sz w:val="36"/>
          <w:szCs w:val="36"/>
        </w:rPr>
        <w:t>z</w:t>
      </w:r>
      <w:r w:rsidR="00B92A5F" w:rsidRPr="00B47845">
        <w:rPr>
          <w:rFonts w:ascii="Arial" w:hAnsi="Arial" w:cs="Arial"/>
          <w:b/>
          <w:bCs/>
          <w:sz w:val="36"/>
          <w:szCs w:val="36"/>
        </w:rPr>
        <w:t>u</w:t>
      </w:r>
      <w:r w:rsidRPr="00B47845">
        <w:rPr>
          <w:rFonts w:ascii="Arial" w:hAnsi="Arial" w:cs="Arial"/>
          <w:b/>
          <w:bCs/>
          <w:sz w:val="36"/>
          <w:szCs w:val="36"/>
        </w:rPr>
        <w:t xml:space="preserve"> dem </w:t>
      </w:r>
      <w:r w:rsidR="00B47845" w:rsidRPr="00B47845">
        <w:rPr>
          <w:rFonts w:ascii="Arial" w:hAnsi="Arial" w:cs="Arial"/>
          <w:b/>
          <w:bCs/>
          <w:sz w:val="36"/>
          <w:szCs w:val="36"/>
        </w:rPr>
        <w:t>Muster</w:t>
      </w:r>
      <w:r w:rsidR="0058467D" w:rsidRPr="00B47845">
        <w:rPr>
          <w:rFonts w:ascii="Arial" w:hAnsi="Arial" w:cs="Arial"/>
          <w:b/>
          <w:bCs/>
          <w:sz w:val="36"/>
          <w:szCs w:val="36"/>
        </w:rPr>
        <w:t>-Kooperationsvertrag</w:t>
      </w:r>
    </w:p>
    <w:p w14:paraId="3E0A7732" w14:textId="77777777" w:rsidR="00592E8C" w:rsidRPr="00B47845" w:rsidRDefault="00592E8C" w:rsidP="00592E8C">
      <w:pPr>
        <w:spacing w:before="16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679B5F" w14:textId="4BCED28E" w:rsidR="00B92A5F" w:rsidRPr="00B47845" w:rsidRDefault="002771E2" w:rsidP="00592E8C">
      <w:pPr>
        <w:spacing w:before="160" w:line="276" w:lineRule="auto"/>
        <w:jc w:val="both"/>
        <w:rPr>
          <w:rFonts w:ascii="Arial" w:hAnsi="Arial" w:cs="Arial"/>
          <w:sz w:val="24"/>
          <w:szCs w:val="24"/>
        </w:rPr>
      </w:pPr>
      <w:r w:rsidRPr="00B47845">
        <w:rPr>
          <w:rFonts w:ascii="Arial" w:hAnsi="Arial" w:cs="Arial"/>
          <w:sz w:val="24"/>
          <w:szCs w:val="24"/>
        </w:rPr>
        <w:t xml:space="preserve">Nachfolgend werden Hinweise </w:t>
      </w:r>
      <w:r w:rsidR="007A1FD5" w:rsidRPr="00B47845">
        <w:rPr>
          <w:rFonts w:ascii="Arial" w:hAnsi="Arial" w:cs="Arial"/>
          <w:sz w:val="24"/>
          <w:szCs w:val="24"/>
        </w:rPr>
        <w:t>in Ergänzung zu</w:t>
      </w:r>
      <w:r w:rsidR="00B47845">
        <w:rPr>
          <w:rFonts w:ascii="Arial" w:hAnsi="Arial" w:cs="Arial"/>
          <w:sz w:val="24"/>
          <w:szCs w:val="24"/>
        </w:rPr>
        <w:t>m Muster</w:t>
      </w:r>
      <w:r w:rsidR="007A1FD5" w:rsidRPr="00B47845">
        <w:rPr>
          <w:rFonts w:ascii="Arial" w:hAnsi="Arial" w:cs="Arial"/>
          <w:sz w:val="24"/>
          <w:szCs w:val="24"/>
        </w:rPr>
        <w:t>-Kooperationsvertrags</w:t>
      </w:r>
      <w:r w:rsidRPr="00B47845">
        <w:rPr>
          <w:rFonts w:ascii="Arial" w:hAnsi="Arial" w:cs="Arial"/>
          <w:sz w:val="24"/>
          <w:szCs w:val="24"/>
        </w:rPr>
        <w:t xml:space="preserve"> gegeben</w:t>
      </w:r>
      <w:r w:rsidR="007A1FD5" w:rsidRPr="00B47845">
        <w:rPr>
          <w:rFonts w:ascii="Arial" w:hAnsi="Arial" w:cs="Arial"/>
          <w:sz w:val="24"/>
          <w:szCs w:val="24"/>
        </w:rPr>
        <w:t>:</w:t>
      </w:r>
    </w:p>
    <w:p w14:paraId="62DDF2D7" w14:textId="5108FC18" w:rsidR="00937A53" w:rsidRPr="00B47845" w:rsidRDefault="00937A53" w:rsidP="00592E8C">
      <w:pPr>
        <w:spacing w:before="160"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B47845">
        <w:rPr>
          <w:rFonts w:ascii="Arial" w:hAnsi="Arial" w:cs="Arial"/>
          <w:b/>
          <w:bCs/>
          <w:sz w:val="26"/>
          <w:szCs w:val="26"/>
        </w:rPr>
        <w:t xml:space="preserve">I. </w:t>
      </w:r>
      <w:r w:rsidR="00A77F9B" w:rsidRPr="00B47845">
        <w:rPr>
          <w:rFonts w:ascii="Arial" w:hAnsi="Arial" w:cs="Arial"/>
          <w:b/>
          <w:bCs/>
          <w:sz w:val="26"/>
          <w:szCs w:val="26"/>
        </w:rPr>
        <w:t>Präambel</w:t>
      </w:r>
      <w:r w:rsidR="00F76100" w:rsidRPr="00B47845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789C6618" w14:textId="053F2793" w:rsidR="007A1FD5" w:rsidRPr="00B47845" w:rsidRDefault="00F76100" w:rsidP="00592E8C">
      <w:pPr>
        <w:spacing w:before="16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7845">
        <w:rPr>
          <w:rFonts w:ascii="Arial" w:hAnsi="Arial" w:cs="Arial"/>
          <w:b/>
          <w:bCs/>
          <w:sz w:val="24"/>
          <w:szCs w:val="24"/>
        </w:rPr>
        <w:t>Satz 1</w:t>
      </w:r>
    </w:p>
    <w:p w14:paraId="0B2E4DEA" w14:textId="5139F754" w:rsidR="00B92A5F" w:rsidRPr="00B47845" w:rsidRDefault="00F76100" w:rsidP="00592E8C">
      <w:pPr>
        <w:spacing w:before="16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47845">
        <w:rPr>
          <w:rFonts w:ascii="Arial" w:hAnsi="Arial" w:cs="Arial"/>
          <w:i/>
          <w:iCs/>
          <w:sz w:val="24"/>
          <w:szCs w:val="24"/>
        </w:rPr>
        <w:t xml:space="preserve">xxx beabsichtigt, im Kommunalgebiet des Kooperationspartners innerhalb des jeweils nach den folgenden Regelungen bestimmten Gebiets („Ausbaugebiet“) </w:t>
      </w:r>
      <w:r w:rsidR="00563D59" w:rsidRPr="00B47845">
        <w:rPr>
          <w:rFonts w:ascii="Arial" w:hAnsi="Arial" w:cs="Arial"/>
          <w:i/>
          <w:iCs/>
          <w:sz w:val="24"/>
          <w:szCs w:val="24"/>
        </w:rPr>
        <w:t>eigenwirtschaftlich – d.h. ohne Inanspruchnahme staatlicher Fördermittel –</w:t>
      </w:r>
      <w:r w:rsidR="00245E48" w:rsidRPr="00B47845">
        <w:rPr>
          <w:rFonts w:ascii="Arial" w:hAnsi="Arial" w:cs="Arial"/>
          <w:i/>
          <w:iCs/>
          <w:sz w:val="24"/>
          <w:szCs w:val="24"/>
        </w:rPr>
        <w:t xml:space="preserve"> </w:t>
      </w:r>
      <w:r w:rsidRPr="00B47845">
        <w:rPr>
          <w:rFonts w:ascii="Arial" w:hAnsi="Arial" w:cs="Arial"/>
          <w:i/>
          <w:iCs/>
          <w:sz w:val="24"/>
          <w:szCs w:val="24"/>
        </w:rPr>
        <w:t>eine gigabitfähige Infrastruktur in der Ausbauvariante [</w:t>
      </w:r>
      <w:r w:rsidRPr="00B47845">
        <w:rPr>
          <w:rFonts w:ascii="Arial" w:hAnsi="Arial" w:cs="Arial"/>
          <w:i/>
          <w:iCs/>
          <w:sz w:val="24"/>
          <w:szCs w:val="24"/>
          <w:highlight w:val="yellow"/>
        </w:rPr>
        <w:t>X</w:t>
      </w:r>
      <w:r w:rsidRPr="00B47845">
        <w:rPr>
          <w:rFonts w:ascii="Arial" w:hAnsi="Arial" w:cs="Arial"/>
          <w:i/>
          <w:iCs/>
          <w:sz w:val="24"/>
          <w:szCs w:val="24"/>
        </w:rPr>
        <w:t>]</w:t>
      </w:r>
      <w:r w:rsidR="002771E2" w:rsidRPr="00B47845">
        <w:rPr>
          <w:rFonts w:ascii="Arial" w:hAnsi="Arial" w:cs="Arial"/>
          <w:i/>
          <w:iCs/>
          <w:sz w:val="24"/>
          <w:szCs w:val="24"/>
        </w:rPr>
        <w:t xml:space="preserve"> </w:t>
      </w:r>
      <w:r w:rsidRPr="00B47845">
        <w:rPr>
          <w:rFonts w:ascii="Arial" w:hAnsi="Arial" w:cs="Arial"/>
          <w:i/>
          <w:iCs/>
          <w:sz w:val="24"/>
          <w:szCs w:val="24"/>
        </w:rPr>
        <w:t>auszubauen und zu betreiben oder einem dritten Telekommunikationsunternehmen („Partner“) zur Nutzung zu überlassen.</w:t>
      </w:r>
    </w:p>
    <w:p w14:paraId="33FEB596" w14:textId="1CC7C2ED" w:rsidR="002771E2" w:rsidRDefault="002771E2" w:rsidP="00592E8C">
      <w:pPr>
        <w:spacing w:before="160" w:line="276" w:lineRule="auto"/>
        <w:jc w:val="both"/>
        <w:rPr>
          <w:rFonts w:ascii="Arial" w:hAnsi="Arial" w:cs="Arial"/>
          <w:sz w:val="24"/>
          <w:szCs w:val="24"/>
        </w:rPr>
      </w:pPr>
      <w:r w:rsidRPr="00B47845">
        <w:rPr>
          <w:rFonts w:ascii="Arial" w:hAnsi="Arial" w:cs="Arial"/>
          <w:sz w:val="24"/>
          <w:szCs w:val="24"/>
          <w:u w:val="single"/>
        </w:rPr>
        <w:t>Hinweis</w:t>
      </w:r>
      <w:r w:rsidRPr="00B47845">
        <w:rPr>
          <w:rFonts w:ascii="Arial" w:hAnsi="Arial" w:cs="Arial"/>
          <w:sz w:val="24"/>
          <w:szCs w:val="24"/>
        </w:rPr>
        <w:t xml:space="preserve">: </w:t>
      </w:r>
      <w:r w:rsidR="00D66D3B" w:rsidRPr="00B47845">
        <w:rPr>
          <w:rFonts w:ascii="Arial" w:hAnsi="Arial" w:cs="Arial"/>
          <w:sz w:val="24"/>
          <w:szCs w:val="24"/>
        </w:rPr>
        <w:t>Mit [</w:t>
      </w:r>
      <w:r w:rsidR="00D66D3B" w:rsidRPr="00B47845">
        <w:rPr>
          <w:rFonts w:ascii="Arial" w:hAnsi="Arial" w:cs="Arial"/>
          <w:sz w:val="24"/>
          <w:szCs w:val="24"/>
          <w:highlight w:val="yellow"/>
        </w:rPr>
        <w:t>X</w:t>
      </w:r>
      <w:r w:rsidR="00D66D3B" w:rsidRPr="00B47845">
        <w:rPr>
          <w:rFonts w:ascii="Arial" w:hAnsi="Arial" w:cs="Arial"/>
          <w:sz w:val="24"/>
          <w:szCs w:val="24"/>
        </w:rPr>
        <w:t>] ist die zum Ausbau genutzte Leistungstechnologie gemeint. M</w:t>
      </w:r>
      <w:r w:rsidRPr="00B47845">
        <w:rPr>
          <w:rFonts w:ascii="Arial" w:hAnsi="Arial" w:cs="Arial"/>
          <w:sz w:val="24"/>
          <w:szCs w:val="24"/>
        </w:rPr>
        <w:t>ögliche Ausbauvariante</w:t>
      </w:r>
      <w:r w:rsidR="00D66D3B" w:rsidRPr="00B47845">
        <w:rPr>
          <w:rFonts w:ascii="Arial" w:hAnsi="Arial" w:cs="Arial"/>
          <w:sz w:val="24"/>
          <w:szCs w:val="24"/>
        </w:rPr>
        <w:t>n</w:t>
      </w:r>
      <w:r w:rsidRPr="00B47845">
        <w:rPr>
          <w:rFonts w:ascii="Arial" w:hAnsi="Arial" w:cs="Arial"/>
          <w:sz w:val="24"/>
          <w:szCs w:val="24"/>
        </w:rPr>
        <w:t xml:space="preserve"> könne</w:t>
      </w:r>
      <w:r w:rsidR="00D66D3B" w:rsidRPr="00B47845">
        <w:rPr>
          <w:rFonts w:ascii="Arial" w:hAnsi="Arial" w:cs="Arial"/>
          <w:sz w:val="24"/>
          <w:szCs w:val="24"/>
        </w:rPr>
        <w:t>n beispielsweise FTTB oder</w:t>
      </w:r>
      <w:r w:rsidRPr="00B47845">
        <w:rPr>
          <w:rFonts w:ascii="Arial" w:hAnsi="Arial" w:cs="Arial"/>
          <w:sz w:val="24"/>
          <w:szCs w:val="24"/>
        </w:rPr>
        <w:t xml:space="preserve"> FTTH sein.</w:t>
      </w:r>
    </w:p>
    <w:p w14:paraId="07DFC3B2" w14:textId="3F9E94F5" w:rsidR="00A77F9B" w:rsidRPr="00B47845" w:rsidRDefault="00937A53" w:rsidP="00B47845">
      <w:pPr>
        <w:spacing w:before="360"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B47845">
        <w:rPr>
          <w:rFonts w:ascii="Arial" w:hAnsi="Arial" w:cs="Arial"/>
          <w:b/>
          <w:bCs/>
          <w:sz w:val="26"/>
          <w:szCs w:val="26"/>
        </w:rPr>
        <w:t>II</w:t>
      </w:r>
      <w:r w:rsidR="00A77F9B" w:rsidRPr="00B47845">
        <w:rPr>
          <w:rFonts w:ascii="Arial" w:hAnsi="Arial" w:cs="Arial"/>
          <w:b/>
          <w:bCs/>
          <w:sz w:val="26"/>
          <w:szCs w:val="26"/>
        </w:rPr>
        <w:t xml:space="preserve">. § 1 </w:t>
      </w:r>
      <w:r w:rsidRPr="00B47845">
        <w:rPr>
          <w:rFonts w:ascii="Arial" w:hAnsi="Arial" w:cs="Arial"/>
          <w:b/>
          <w:bCs/>
          <w:sz w:val="26"/>
          <w:szCs w:val="26"/>
        </w:rPr>
        <w:t>Ausbaugebiet und Eigentum</w:t>
      </w:r>
    </w:p>
    <w:p w14:paraId="16C2B800" w14:textId="1A945D28" w:rsidR="00937A53" w:rsidRPr="00B47845" w:rsidRDefault="00937A53" w:rsidP="00592E8C">
      <w:pPr>
        <w:spacing w:before="16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7845">
        <w:rPr>
          <w:rFonts w:ascii="Arial" w:hAnsi="Arial" w:cs="Arial"/>
          <w:b/>
          <w:bCs/>
          <w:sz w:val="24"/>
          <w:szCs w:val="24"/>
        </w:rPr>
        <w:t>Absatz 2 Satz 1</w:t>
      </w:r>
    </w:p>
    <w:p w14:paraId="57B80A23" w14:textId="2819ECDE" w:rsidR="00A77F9B" w:rsidRPr="00B47845" w:rsidRDefault="00F76100" w:rsidP="00592E8C">
      <w:pPr>
        <w:spacing w:before="16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47845">
        <w:rPr>
          <w:rFonts w:ascii="Arial" w:hAnsi="Arial" w:cs="Arial"/>
          <w:i/>
          <w:iCs/>
          <w:sz w:val="24"/>
          <w:szCs w:val="24"/>
        </w:rPr>
        <w:t>Der Vertrag wird für die Dauer von [</w:t>
      </w:r>
      <w:r w:rsidRPr="00B47845">
        <w:rPr>
          <w:rFonts w:ascii="Arial" w:hAnsi="Arial" w:cs="Arial"/>
          <w:i/>
          <w:iCs/>
          <w:sz w:val="24"/>
          <w:szCs w:val="24"/>
          <w:highlight w:val="yellow"/>
        </w:rPr>
        <w:t>X</w:t>
      </w:r>
      <w:r w:rsidRPr="00B47845">
        <w:rPr>
          <w:rFonts w:ascii="Arial" w:hAnsi="Arial" w:cs="Arial"/>
          <w:i/>
          <w:iCs/>
          <w:sz w:val="24"/>
          <w:szCs w:val="24"/>
        </w:rPr>
        <w:t>]</w:t>
      </w:r>
      <w:r w:rsidR="002771E2" w:rsidRPr="00B47845">
        <w:rPr>
          <w:rFonts w:ascii="Arial" w:hAnsi="Arial" w:cs="Arial"/>
          <w:i/>
          <w:iCs/>
          <w:sz w:val="24"/>
          <w:szCs w:val="24"/>
        </w:rPr>
        <w:t xml:space="preserve"> </w:t>
      </w:r>
      <w:r w:rsidRPr="00B47845">
        <w:rPr>
          <w:rFonts w:ascii="Arial" w:hAnsi="Arial" w:cs="Arial"/>
          <w:i/>
          <w:iCs/>
          <w:sz w:val="24"/>
          <w:szCs w:val="24"/>
        </w:rPr>
        <w:t>Jahren ab Vertragsunterzeichnung geschlossen.</w:t>
      </w:r>
    </w:p>
    <w:p w14:paraId="6978C1AB" w14:textId="301873EF" w:rsidR="002771E2" w:rsidRDefault="002771E2" w:rsidP="00592E8C">
      <w:pPr>
        <w:spacing w:before="160" w:line="276" w:lineRule="auto"/>
        <w:jc w:val="both"/>
        <w:rPr>
          <w:rFonts w:ascii="Arial" w:hAnsi="Arial" w:cs="Arial"/>
          <w:sz w:val="24"/>
          <w:szCs w:val="24"/>
        </w:rPr>
      </w:pPr>
      <w:r w:rsidRPr="00B47845">
        <w:rPr>
          <w:rFonts w:ascii="Arial" w:hAnsi="Arial" w:cs="Arial"/>
          <w:sz w:val="24"/>
          <w:szCs w:val="24"/>
          <w:u w:val="single"/>
        </w:rPr>
        <w:t>Hinweis</w:t>
      </w:r>
      <w:r w:rsidRPr="00B47845">
        <w:rPr>
          <w:rFonts w:ascii="Arial" w:hAnsi="Arial" w:cs="Arial"/>
          <w:sz w:val="24"/>
          <w:szCs w:val="24"/>
        </w:rPr>
        <w:t>: Als Dauer wird eine Zeitspanne von 15 Jahren vorgeschlagen.</w:t>
      </w:r>
    </w:p>
    <w:p w14:paraId="621F95E2" w14:textId="5765FC75" w:rsidR="00A77F9B" w:rsidRPr="00B47845" w:rsidRDefault="00937A53" w:rsidP="00B47845">
      <w:pPr>
        <w:spacing w:before="360"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B47845">
        <w:rPr>
          <w:rFonts w:ascii="Arial" w:hAnsi="Arial" w:cs="Arial"/>
          <w:b/>
          <w:bCs/>
          <w:sz w:val="26"/>
          <w:szCs w:val="26"/>
        </w:rPr>
        <w:t>III</w:t>
      </w:r>
      <w:r w:rsidR="00A77F9B" w:rsidRPr="00B47845">
        <w:rPr>
          <w:rFonts w:ascii="Arial" w:hAnsi="Arial" w:cs="Arial"/>
          <w:b/>
          <w:bCs/>
          <w:sz w:val="26"/>
          <w:szCs w:val="26"/>
        </w:rPr>
        <w:t xml:space="preserve">. § 2 </w:t>
      </w:r>
      <w:r w:rsidRPr="00B47845">
        <w:rPr>
          <w:rFonts w:ascii="Arial" w:hAnsi="Arial" w:cs="Arial"/>
          <w:b/>
          <w:bCs/>
          <w:sz w:val="26"/>
          <w:szCs w:val="26"/>
        </w:rPr>
        <w:t>Voraussetzungen, Vermarktung</w:t>
      </w:r>
    </w:p>
    <w:p w14:paraId="5EA86D1C" w14:textId="11CBF2A6" w:rsidR="00937A53" w:rsidRPr="00B47845" w:rsidRDefault="00937A53" w:rsidP="00592E8C">
      <w:pPr>
        <w:spacing w:before="160" w:line="276" w:lineRule="auto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 w:rsidRPr="00B47845">
        <w:rPr>
          <w:rFonts w:ascii="Arial" w:hAnsi="Arial" w:cs="Arial"/>
          <w:b/>
          <w:bCs/>
          <w:sz w:val="24"/>
          <w:szCs w:val="24"/>
          <w:highlight w:val="lightGray"/>
        </w:rPr>
        <w:t>Absatz 1 Satz 2</w:t>
      </w:r>
      <w:r w:rsidR="00A62F83" w:rsidRPr="00B47845">
        <w:rPr>
          <w:rFonts w:ascii="Arial" w:hAnsi="Arial" w:cs="Arial"/>
          <w:b/>
          <w:bCs/>
          <w:sz w:val="24"/>
          <w:szCs w:val="24"/>
          <w:highlight w:val="lightGray"/>
        </w:rPr>
        <w:t xml:space="preserve"> (optional)</w:t>
      </w:r>
    </w:p>
    <w:p w14:paraId="1CE7DF55" w14:textId="3752C09A" w:rsidR="00A77F9B" w:rsidRPr="00B47845" w:rsidRDefault="00F76100" w:rsidP="00592E8C">
      <w:pPr>
        <w:spacing w:before="160" w:line="276" w:lineRule="auto"/>
        <w:jc w:val="both"/>
        <w:rPr>
          <w:rFonts w:ascii="Arial" w:hAnsi="Arial" w:cs="Arial"/>
          <w:i/>
          <w:iCs/>
          <w:sz w:val="24"/>
          <w:szCs w:val="24"/>
          <w:highlight w:val="lightGray"/>
        </w:rPr>
      </w:pPr>
      <w:r w:rsidRPr="00B47845">
        <w:rPr>
          <w:rFonts w:ascii="Arial" w:hAnsi="Arial" w:cs="Arial"/>
          <w:i/>
          <w:iCs/>
          <w:sz w:val="24"/>
          <w:szCs w:val="24"/>
          <w:highlight w:val="lightGray"/>
        </w:rPr>
        <w:t xml:space="preserve">Im Rahmen einer Vermarktungsphase von regelmäßig </w:t>
      </w:r>
      <w:r w:rsidRPr="00B47845">
        <w:rPr>
          <w:rFonts w:ascii="Arial" w:hAnsi="Arial" w:cs="Arial"/>
          <w:i/>
          <w:iCs/>
          <w:sz w:val="24"/>
          <w:szCs w:val="24"/>
          <w:highlight w:val="yellow"/>
        </w:rPr>
        <w:t>[X]</w:t>
      </w:r>
      <w:r w:rsidRPr="00B47845">
        <w:rPr>
          <w:rFonts w:ascii="Arial" w:hAnsi="Arial" w:cs="Arial"/>
          <w:i/>
          <w:iCs/>
          <w:sz w:val="24"/>
          <w:szCs w:val="24"/>
          <w:highlight w:val="lightGray"/>
        </w:rPr>
        <w:t xml:space="preserve"> Wochen („Nachfragebündelung“) muss eine ausreichende Anzahl an Verträgen zwischen Diensteanbietern und Privat- und/oder Geschäftskunden im jeweiligen Ausbaugebiet geschlossen worden sein.</w:t>
      </w:r>
    </w:p>
    <w:p w14:paraId="04B7586F" w14:textId="10DFAEB9" w:rsidR="002771E2" w:rsidRDefault="002771E2" w:rsidP="00592E8C">
      <w:pPr>
        <w:spacing w:before="160" w:line="276" w:lineRule="auto"/>
        <w:jc w:val="both"/>
        <w:rPr>
          <w:rFonts w:ascii="Arial" w:hAnsi="Arial" w:cs="Arial"/>
          <w:sz w:val="24"/>
          <w:szCs w:val="24"/>
        </w:rPr>
      </w:pPr>
      <w:r w:rsidRPr="00B47845">
        <w:rPr>
          <w:rFonts w:ascii="Arial" w:hAnsi="Arial" w:cs="Arial"/>
          <w:sz w:val="24"/>
          <w:szCs w:val="24"/>
          <w:highlight w:val="lightGray"/>
          <w:u w:val="single"/>
        </w:rPr>
        <w:t>Hinweis</w:t>
      </w:r>
      <w:r w:rsidRPr="00B47845">
        <w:rPr>
          <w:rFonts w:ascii="Arial" w:hAnsi="Arial" w:cs="Arial"/>
          <w:sz w:val="24"/>
          <w:szCs w:val="24"/>
          <w:highlight w:val="lightGray"/>
        </w:rPr>
        <w:t>: Als regelmäßige Dauer der Vermarktungsphase wird eine Zeitspanne von zehn bis zwölf Wochen vorgeschlagen.</w:t>
      </w:r>
      <w:r w:rsidR="00BA52D4" w:rsidRPr="00B47845">
        <w:rPr>
          <w:rFonts w:ascii="Arial" w:hAnsi="Arial" w:cs="Arial"/>
          <w:sz w:val="24"/>
          <w:szCs w:val="24"/>
          <w:highlight w:val="lightGray"/>
        </w:rPr>
        <w:t xml:space="preserve"> Allerdings hängt die </w:t>
      </w:r>
      <w:r w:rsidR="00247F67" w:rsidRPr="00B47845">
        <w:rPr>
          <w:rFonts w:ascii="Arial" w:hAnsi="Arial" w:cs="Arial"/>
          <w:sz w:val="24"/>
          <w:szCs w:val="24"/>
          <w:highlight w:val="lightGray"/>
        </w:rPr>
        <w:t xml:space="preserve">konkrete </w:t>
      </w:r>
      <w:r w:rsidR="00BA52D4" w:rsidRPr="00B47845">
        <w:rPr>
          <w:rFonts w:ascii="Arial" w:hAnsi="Arial" w:cs="Arial"/>
          <w:sz w:val="24"/>
          <w:szCs w:val="24"/>
          <w:highlight w:val="lightGray"/>
        </w:rPr>
        <w:t xml:space="preserve">Dauer </w:t>
      </w:r>
      <w:r w:rsidR="00247F67" w:rsidRPr="00B47845">
        <w:rPr>
          <w:rFonts w:ascii="Arial" w:hAnsi="Arial" w:cs="Arial"/>
          <w:sz w:val="24"/>
          <w:szCs w:val="24"/>
          <w:highlight w:val="lightGray"/>
        </w:rPr>
        <w:t>grundlegend</w:t>
      </w:r>
      <w:r w:rsidR="00BA52D4" w:rsidRPr="00B47845">
        <w:rPr>
          <w:rFonts w:ascii="Arial" w:hAnsi="Arial" w:cs="Arial"/>
          <w:sz w:val="24"/>
          <w:szCs w:val="24"/>
          <w:highlight w:val="lightGray"/>
        </w:rPr>
        <w:t xml:space="preserve"> von der Vermarktungsstrategie des jeweiligen Telekommunikationsunternehmens ab.</w:t>
      </w:r>
      <w:r w:rsidR="00BA52D4" w:rsidRPr="00B47845">
        <w:rPr>
          <w:rFonts w:ascii="Arial" w:hAnsi="Arial" w:cs="Arial"/>
          <w:sz w:val="24"/>
          <w:szCs w:val="24"/>
        </w:rPr>
        <w:t xml:space="preserve"> </w:t>
      </w:r>
    </w:p>
    <w:p w14:paraId="0F9B278B" w14:textId="221FB5F4" w:rsidR="0096083A" w:rsidRPr="00B47845" w:rsidRDefault="0096083A" w:rsidP="00B47845">
      <w:pPr>
        <w:spacing w:before="360"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B47845">
        <w:rPr>
          <w:rFonts w:ascii="Arial" w:hAnsi="Arial" w:cs="Arial"/>
          <w:b/>
          <w:bCs/>
          <w:sz w:val="26"/>
          <w:szCs w:val="26"/>
        </w:rPr>
        <w:t>IV. § 3 Unterstützung des Kooperationspartners</w:t>
      </w:r>
    </w:p>
    <w:p w14:paraId="188012E6" w14:textId="69092790" w:rsidR="005359ED" w:rsidRPr="00B47845" w:rsidRDefault="005359ED" w:rsidP="00592E8C">
      <w:pPr>
        <w:spacing w:before="16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7845">
        <w:rPr>
          <w:rFonts w:ascii="Arial" w:hAnsi="Arial" w:cs="Arial"/>
          <w:b/>
          <w:bCs/>
          <w:sz w:val="24"/>
          <w:szCs w:val="24"/>
        </w:rPr>
        <w:t>Absatz 5</w:t>
      </w:r>
    </w:p>
    <w:p w14:paraId="1F3FBAB9" w14:textId="7EFF1EB6" w:rsidR="005359ED" w:rsidRPr="00B47845" w:rsidRDefault="005359ED" w:rsidP="00592E8C">
      <w:pPr>
        <w:spacing w:before="16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47845">
        <w:rPr>
          <w:rFonts w:ascii="Arial" w:hAnsi="Arial" w:cs="Arial"/>
          <w:i/>
          <w:iCs/>
          <w:sz w:val="24"/>
          <w:szCs w:val="24"/>
        </w:rPr>
        <w:lastRenderedPageBreak/>
        <w:t xml:space="preserve">Die Unterstützungsleistungen des Kooperationspartners stehen unter dem Vorbehalt, dass gegenseitiges Einvernehmen hinsichtlich des konkreten Ausbauvorhabens besteht, und sind lediglich im Rahmen des rechtlich Zulässigen gestaltbar; hierbei gelten insbesondere die Anforderungen des Wettbewerbs-, Beihilfen- und Haushaltsrechts. </w:t>
      </w:r>
    </w:p>
    <w:p w14:paraId="1C4A328B" w14:textId="28567824" w:rsidR="005359ED" w:rsidRPr="00B47845" w:rsidRDefault="00345920" w:rsidP="00592E8C">
      <w:pPr>
        <w:spacing w:before="16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47845">
        <w:rPr>
          <w:rFonts w:ascii="Arial" w:hAnsi="Arial" w:cs="Arial"/>
          <w:sz w:val="24"/>
          <w:szCs w:val="24"/>
          <w:u w:val="single"/>
        </w:rPr>
        <w:t>Hinweis:</w:t>
      </w:r>
      <w:r w:rsidR="0077482E" w:rsidRPr="00B47845">
        <w:rPr>
          <w:rFonts w:ascii="Arial" w:hAnsi="Arial" w:cs="Arial"/>
          <w:sz w:val="24"/>
          <w:szCs w:val="24"/>
        </w:rPr>
        <w:t xml:space="preserve"> </w:t>
      </w:r>
      <w:r w:rsidR="00053D17" w:rsidRPr="00B47845">
        <w:rPr>
          <w:rFonts w:ascii="Arial" w:hAnsi="Arial" w:cs="Arial"/>
          <w:sz w:val="24"/>
          <w:szCs w:val="24"/>
        </w:rPr>
        <w:t xml:space="preserve">Bezüglich der seitens der Kommunen zu beachtenden Anforderungen </w:t>
      </w:r>
      <w:r w:rsidR="0077482E" w:rsidRPr="00B47845">
        <w:rPr>
          <w:rFonts w:ascii="Arial" w:hAnsi="Arial" w:cs="Arial"/>
          <w:sz w:val="24"/>
          <w:szCs w:val="24"/>
        </w:rPr>
        <w:t>verweisen wir auf die</w:t>
      </w:r>
      <w:r w:rsidR="00B57508" w:rsidRPr="00B47845">
        <w:rPr>
          <w:rFonts w:ascii="Arial" w:hAnsi="Arial" w:cs="Arial"/>
          <w:sz w:val="24"/>
          <w:szCs w:val="24"/>
        </w:rPr>
        <w:t xml:space="preserve"> veröffentlichte</w:t>
      </w:r>
      <w:r w:rsidR="0077482E" w:rsidRPr="00B47845">
        <w:rPr>
          <w:rFonts w:ascii="Arial" w:hAnsi="Arial" w:cs="Arial"/>
          <w:sz w:val="24"/>
          <w:szCs w:val="24"/>
        </w:rPr>
        <w:t xml:space="preserve"> Handreichung „Kommunale Orientierungshilfe zum eigenwirtschaftlichen Ausbau“</w:t>
      </w:r>
      <w:r w:rsidR="005156A1" w:rsidRPr="00B47845">
        <w:rPr>
          <w:rFonts w:ascii="Arial" w:hAnsi="Arial" w:cs="Arial"/>
          <w:sz w:val="24"/>
          <w:szCs w:val="24"/>
        </w:rPr>
        <w:t xml:space="preserve"> des Gigabitbüro des Bundes</w:t>
      </w:r>
      <w:r w:rsidR="00B57508" w:rsidRPr="00B47845">
        <w:rPr>
          <w:rFonts w:ascii="Arial" w:hAnsi="Arial" w:cs="Arial"/>
          <w:sz w:val="24"/>
          <w:szCs w:val="24"/>
        </w:rPr>
        <w:t>.</w:t>
      </w:r>
    </w:p>
    <w:p w14:paraId="08DB2652" w14:textId="7B702673" w:rsidR="0096083A" w:rsidRPr="00B47845" w:rsidRDefault="0096083A" w:rsidP="00592E8C">
      <w:pPr>
        <w:spacing w:before="16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7845">
        <w:rPr>
          <w:rFonts w:ascii="Arial" w:hAnsi="Arial" w:cs="Arial"/>
          <w:b/>
          <w:bCs/>
          <w:sz w:val="24"/>
          <w:szCs w:val="24"/>
        </w:rPr>
        <w:t>Absatz 6 Satz 1</w:t>
      </w:r>
    </w:p>
    <w:p w14:paraId="6DB71556" w14:textId="079A50AB" w:rsidR="0096083A" w:rsidRPr="00B47845" w:rsidRDefault="0096083A" w:rsidP="00592E8C">
      <w:pPr>
        <w:spacing w:before="16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47845">
        <w:rPr>
          <w:rFonts w:ascii="Arial" w:hAnsi="Arial" w:cs="Arial"/>
          <w:i/>
          <w:iCs/>
          <w:sz w:val="24"/>
          <w:szCs w:val="24"/>
        </w:rPr>
        <w:t>Für den Verwaltungsaufwand wird der Kooperationspartner Gebühren nach geltendem Gebührenrecht (Landes- und/oder Ortsrecht) erheben und diese vorrangig nach Verwaltungsaufwand bemessen.</w:t>
      </w:r>
    </w:p>
    <w:p w14:paraId="461555E3" w14:textId="16B249DC" w:rsidR="0096083A" w:rsidRDefault="0096083A" w:rsidP="00592E8C">
      <w:pPr>
        <w:spacing w:before="160" w:line="276" w:lineRule="auto"/>
        <w:jc w:val="both"/>
        <w:rPr>
          <w:rFonts w:ascii="Arial" w:hAnsi="Arial" w:cs="Arial"/>
          <w:sz w:val="24"/>
          <w:szCs w:val="24"/>
        </w:rPr>
      </w:pPr>
      <w:r w:rsidRPr="00B47845">
        <w:rPr>
          <w:rFonts w:ascii="Arial" w:hAnsi="Arial" w:cs="Arial"/>
          <w:sz w:val="24"/>
          <w:szCs w:val="24"/>
          <w:u w:val="single"/>
        </w:rPr>
        <w:t>Hinweis</w:t>
      </w:r>
      <w:r w:rsidRPr="00B47845">
        <w:rPr>
          <w:rFonts w:ascii="Arial" w:hAnsi="Arial" w:cs="Arial"/>
          <w:sz w:val="24"/>
          <w:szCs w:val="24"/>
        </w:rPr>
        <w:t>: Hineinzulesen ist immer „im Rahmen des rechtlich Zulässigen“, wie andernorts im Vertrag verankert.</w:t>
      </w:r>
    </w:p>
    <w:p w14:paraId="50C84082" w14:textId="43C32EF7" w:rsidR="0065679F" w:rsidRPr="00B47845" w:rsidRDefault="0065679F" w:rsidP="00B47845">
      <w:pPr>
        <w:spacing w:before="360"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B47845">
        <w:rPr>
          <w:rFonts w:ascii="Arial" w:hAnsi="Arial" w:cs="Arial"/>
          <w:b/>
          <w:bCs/>
          <w:sz w:val="26"/>
          <w:szCs w:val="26"/>
        </w:rPr>
        <w:t>V. §5 Informationsfluss, Trassenführung und Koordination</w:t>
      </w:r>
    </w:p>
    <w:p w14:paraId="31ED8E7A" w14:textId="667B48BD" w:rsidR="0065679F" w:rsidRPr="00B47845" w:rsidRDefault="00094977" w:rsidP="00592E8C">
      <w:pPr>
        <w:spacing w:before="16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7845">
        <w:rPr>
          <w:rFonts w:ascii="Arial" w:hAnsi="Arial" w:cs="Arial"/>
          <w:b/>
          <w:bCs/>
          <w:sz w:val="24"/>
          <w:szCs w:val="24"/>
        </w:rPr>
        <w:t xml:space="preserve">Absatz 3 Satz 2 </w:t>
      </w:r>
    </w:p>
    <w:p w14:paraId="22A27060" w14:textId="64F0DA73" w:rsidR="00094977" w:rsidRPr="00B47845" w:rsidRDefault="00094977" w:rsidP="00592E8C">
      <w:pPr>
        <w:spacing w:before="16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47845">
        <w:rPr>
          <w:rFonts w:ascii="Arial" w:hAnsi="Arial" w:cs="Arial"/>
          <w:i/>
          <w:iCs/>
          <w:sz w:val="24"/>
          <w:szCs w:val="24"/>
        </w:rPr>
        <w:t>Der Kooperationspartner sagt zu, über diese Anträge nach Maßgabe des geltenden Rechts zügig – möglichst innerhalb von [</w:t>
      </w:r>
      <w:r w:rsidRPr="00B47845">
        <w:rPr>
          <w:rFonts w:ascii="Arial" w:hAnsi="Arial" w:cs="Arial"/>
          <w:i/>
          <w:iCs/>
          <w:sz w:val="24"/>
          <w:szCs w:val="24"/>
          <w:highlight w:val="yellow"/>
        </w:rPr>
        <w:t>X</w:t>
      </w:r>
      <w:r w:rsidRPr="00B47845">
        <w:rPr>
          <w:rFonts w:ascii="Arial" w:hAnsi="Arial" w:cs="Arial"/>
          <w:i/>
          <w:iCs/>
          <w:sz w:val="24"/>
          <w:szCs w:val="24"/>
        </w:rPr>
        <w:t>] Wochen – zu entscheiden.</w:t>
      </w:r>
    </w:p>
    <w:p w14:paraId="06F95256" w14:textId="5619BAB6" w:rsidR="00094977" w:rsidRDefault="00094977" w:rsidP="00592E8C">
      <w:pPr>
        <w:spacing w:before="160" w:line="276" w:lineRule="auto"/>
        <w:jc w:val="both"/>
        <w:rPr>
          <w:rFonts w:ascii="Arial" w:hAnsi="Arial" w:cs="Arial"/>
          <w:sz w:val="24"/>
          <w:szCs w:val="24"/>
        </w:rPr>
      </w:pPr>
      <w:r w:rsidRPr="00B47845">
        <w:rPr>
          <w:rFonts w:ascii="Arial" w:hAnsi="Arial" w:cs="Arial"/>
          <w:sz w:val="24"/>
          <w:szCs w:val="24"/>
        </w:rPr>
        <w:t xml:space="preserve">Hinweis: </w:t>
      </w:r>
      <w:r w:rsidR="00263B9C" w:rsidRPr="00B47845">
        <w:rPr>
          <w:rFonts w:ascii="Arial" w:hAnsi="Arial" w:cs="Arial"/>
          <w:sz w:val="24"/>
          <w:szCs w:val="24"/>
        </w:rPr>
        <w:t>Bezüglich der Entscheidung</w:t>
      </w:r>
      <w:r w:rsidR="00E82C57" w:rsidRPr="00B47845">
        <w:rPr>
          <w:rFonts w:ascii="Arial" w:hAnsi="Arial" w:cs="Arial"/>
          <w:sz w:val="24"/>
          <w:szCs w:val="24"/>
        </w:rPr>
        <w:t xml:space="preserve"> über </w:t>
      </w:r>
      <w:r w:rsidR="00263B9C" w:rsidRPr="00B47845">
        <w:rPr>
          <w:rFonts w:ascii="Arial" w:hAnsi="Arial" w:cs="Arial"/>
          <w:sz w:val="24"/>
          <w:szCs w:val="24"/>
        </w:rPr>
        <w:t xml:space="preserve">erforderliche Anträge wird eine Frist von vier Wochen vorgeschlagen. </w:t>
      </w:r>
    </w:p>
    <w:p w14:paraId="415B18ED" w14:textId="15DAF964" w:rsidR="00A77F9B" w:rsidRPr="00B47845" w:rsidRDefault="00937A53" w:rsidP="00B47845">
      <w:pPr>
        <w:spacing w:before="360" w:line="276" w:lineRule="auto"/>
        <w:jc w:val="both"/>
        <w:rPr>
          <w:rFonts w:ascii="Arial" w:hAnsi="Arial" w:cs="Arial"/>
          <w:b/>
          <w:bCs/>
          <w:sz w:val="26"/>
          <w:szCs w:val="26"/>
          <w:highlight w:val="lightGray"/>
        </w:rPr>
      </w:pPr>
      <w:r w:rsidRPr="00B47845">
        <w:rPr>
          <w:rFonts w:ascii="Arial" w:hAnsi="Arial" w:cs="Arial"/>
          <w:b/>
          <w:bCs/>
          <w:sz w:val="26"/>
          <w:szCs w:val="26"/>
          <w:highlight w:val="lightGray"/>
        </w:rPr>
        <w:t>V</w:t>
      </w:r>
      <w:r w:rsidR="0065679F" w:rsidRPr="00B47845">
        <w:rPr>
          <w:rFonts w:ascii="Arial" w:hAnsi="Arial" w:cs="Arial"/>
          <w:b/>
          <w:bCs/>
          <w:sz w:val="26"/>
          <w:szCs w:val="26"/>
          <w:highlight w:val="lightGray"/>
        </w:rPr>
        <w:t>I</w:t>
      </w:r>
      <w:r w:rsidR="00A77F9B" w:rsidRPr="00B47845">
        <w:rPr>
          <w:rFonts w:ascii="Arial" w:hAnsi="Arial" w:cs="Arial"/>
          <w:b/>
          <w:bCs/>
          <w:sz w:val="26"/>
          <w:szCs w:val="26"/>
          <w:highlight w:val="lightGray"/>
        </w:rPr>
        <w:t xml:space="preserve">. § 7 </w:t>
      </w:r>
      <w:r w:rsidRPr="00B47845">
        <w:rPr>
          <w:rFonts w:ascii="Arial" w:hAnsi="Arial" w:cs="Arial"/>
          <w:b/>
          <w:bCs/>
          <w:sz w:val="26"/>
          <w:szCs w:val="26"/>
          <w:highlight w:val="lightGray"/>
        </w:rPr>
        <w:t>Geringfügige Baumaßnahmen (optional)</w:t>
      </w:r>
    </w:p>
    <w:p w14:paraId="73652FCB" w14:textId="7E23E867" w:rsidR="00937A53" w:rsidRPr="00B47845" w:rsidRDefault="00937A53" w:rsidP="00592E8C">
      <w:pPr>
        <w:spacing w:before="160" w:line="276" w:lineRule="auto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 w:rsidRPr="00B47845">
        <w:rPr>
          <w:rFonts w:ascii="Arial" w:hAnsi="Arial" w:cs="Arial"/>
          <w:b/>
          <w:bCs/>
          <w:sz w:val="24"/>
          <w:szCs w:val="24"/>
          <w:highlight w:val="lightGray"/>
        </w:rPr>
        <w:t>Absatz 3 Satz 1</w:t>
      </w:r>
    </w:p>
    <w:p w14:paraId="169D7F21" w14:textId="477C4A46" w:rsidR="00937A53" w:rsidRPr="00B47845" w:rsidRDefault="00F76100" w:rsidP="00592E8C">
      <w:pPr>
        <w:spacing w:before="160" w:line="276" w:lineRule="auto"/>
        <w:jc w:val="both"/>
        <w:rPr>
          <w:rFonts w:ascii="Arial" w:hAnsi="Arial" w:cs="Arial"/>
          <w:i/>
          <w:iCs/>
          <w:sz w:val="24"/>
          <w:szCs w:val="24"/>
          <w:highlight w:val="lightGray"/>
        </w:rPr>
      </w:pPr>
      <w:r w:rsidRPr="00B47845">
        <w:rPr>
          <w:rFonts w:ascii="Arial" w:hAnsi="Arial" w:cs="Arial"/>
          <w:i/>
          <w:iCs/>
          <w:sz w:val="24"/>
          <w:szCs w:val="24"/>
          <w:highlight w:val="lightGray"/>
        </w:rPr>
        <w:t>Geringfügige Baumaßnahmen sind dem Kooperationspartner vor Beginn der Maßnahme in Form einer Aufgrabungsmitteilung mit Angabe der Ausführungszeit, sowie Art und Weise der Verlegung rechtzeitig (möglichst [</w:t>
      </w:r>
      <w:r w:rsidRPr="00B47845">
        <w:rPr>
          <w:rFonts w:ascii="Arial" w:hAnsi="Arial" w:cs="Arial"/>
          <w:i/>
          <w:iCs/>
          <w:sz w:val="24"/>
          <w:szCs w:val="24"/>
          <w:highlight w:val="yellow"/>
        </w:rPr>
        <w:t>X</w:t>
      </w:r>
      <w:r w:rsidRPr="00B47845">
        <w:rPr>
          <w:rFonts w:ascii="Arial" w:hAnsi="Arial" w:cs="Arial"/>
          <w:i/>
          <w:iCs/>
          <w:sz w:val="24"/>
          <w:szCs w:val="24"/>
          <w:highlight w:val="lightGray"/>
        </w:rPr>
        <w:t>] Wochen vorher) anzuzeigen.</w:t>
      </w:r>
    </w:p>
    <w:p w14:paraId="5FE0E343" w14:textId="0C7DCB97" w:rsidR="00592E8C" w:rsidRDefault="003E0603" w:rsidP="00592E8C">
      <w:pPr>
        <w:spacing w:before="160" w:line="276" w:lineRule="auto"/>
        <w:jc w:val="both"/>
        <w:rPr>
          <w:rFonts w:ascii="Arial" w:hAnsi="Arial" w:cs="Arial"/>
          <w:sz w:val="24"/>
          <w:szCs w:val="24"/>
        </w:rPr>
      </w:pPr>
      <w:r w:rsidRPr="00B47845">
        <w:rPr>
          <w:rFonts w:ascii="Arial" w:hAnsi="Arial" w:cs="Arial"/>
          <w:sz w:val="24"/>
          <w:szCs w:val="24"/>
          <w:highlight w:val="lightGray"/>
          <w:u w:val="single"/>
        </w:rPr>
        <w:t>Hinweis</w:t>
      </w:r>
      <w:r w:rsidRPr="00B47845">
        <w:rPr>
          <w:rFonts w:ascii="Arial" w:hAnsi="Arial" w:cs="Arial"/>
          <w:sz w:val="24"/>
          <w:szCs w:val="24"/>
          <w:highlight w:val="lightGray"/>
        </w:rPr>
        <w:t>: Hinsichtlich der rechtzeitigen Anzeige wird eine Frist von zwei Wochen vorgeschlagen.</w:t>
      </w:r>
    </w:p>
    <w:p w14:paraId="6E9DA0BC" w14:textId="1F6E7D01" w:rsidR="00B3571A" w:rsidRPr="00B47845" w:rsidRDefault="00937A53" w:rsidP="00B47845">
      <w:pPr>
        <w:spacing w:before="360"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B47845">
        <w:rPr>
          <w:rFonts w:ascii="Arial" w:hAnsi="Arial" w:cs="Arial"/>
          <w:b/>
          <w:bCs/>
          <w:sz w:val="26"/>
          <w:szCs w:val="26"/>
        </w:rPr>
        <w:t>V</w:t>
      </w:r>
      <w:r w:rsidR="0096083A" w:rsidRPr="00B47845">
        <w:rPr>
          <w:rFonts w:ascii="Arial" w:hAnsi="Arial" w:cs="Arial"/>
          <w:b/>
          <w:bCs/>
          <w:sz w:val="26"/>
          <w:szCs w:val="26"/>
        </w:rPr>
        <w:t>I</w:t>
      </w:r>
      <w:r w:rsidR="0065679F" w:rsidRPr="00B47845">
        <w:rPr>
          <w:rFonts w:ascii="Arial" w:hAnsi="Arial" w:cs="Arial"/>
          <w:b/>
          <w:bCs/>
          <w:sz w:val="26"/>
          <w:szCs w:val="26"/>
        </w:rPr>
        <w:t>I</w:t>
      </w:r>
      <w:r w:rsidR="00B3571A" w:rsidRPr="00B47845">
        <w:rPr>
          <w:rFonts w:ascii="Arial" w:hAnsi="Arial" w:cs="Arial"/>
          <w:b/>
          <w:bCs/>
          <w:sz w:val="26"/>
          <w:szCs w:val="26"/>
        </w:rPr>
        <w:t xml:space="preserve">. § 11 </w:t>
      </w:r>
      <w:r w:rsidRPr="00B47845">
        <w:rPr>
          <w:rFonts w:ascii="Arial" w:hAnsi="Arial" w:cs="Arial"/>
          <w:b/>
          <w:bCs/>
          <w:sz w:val="26"/>
          <w:szCs w:val="26"/>
        </w:rPr>
        <w:t>Fertigstellungsmitteilung, Schlussbegehung</w:t>
      </w:r>
    </w:p>
    <w:p w14:paraId="0F3711C8" w14:textId="5E6A24B5" w:rsidR="00937A53" w:rsidRPr="00B47845" w:rsidRDefault="00937A53" w:rsidP="00592E8C">
      <w:pPr>
        <w:spacing w:before="16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7845">
        <w:rPr>
          <w:rFonts w:ascii="Arial" w:hAnsi="Arial" w:cs="Arial"/>
          <w:b/>
          <w:bCs/>
          <w:sz w:val="24"/>
          <w:szCs w:val="24"/>
        </w:rPr>
        <w:t>Absatz 2 Satz 1</w:t>
      </w:r>
    </w:p>
    <w:p w14:paraId="4E9A82CC" w14:textId="56115DE4" w:rsidR="00F76100" w:rsidRPr="00B47845" w:rsidRDefault="00F76100" w:rsidP="00592E8C">
      <w:pPr>
        <w:spacing w:before="16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47845">
        <w:rPr>
          <w:rFonts w:ascii="Arial" w:hAnsi="Arial" w:cs="Arial"/>
          <w:i/>
          <w:iCs/>
          <w:sz w:val="24"/>
          <w:szCs w:val="24"/>
        </w:rPr>
        <w:t>Innerhalb von [</w:t>
      </w:r>
      <w:r w:rsidRPr="00B47845">
        <w:rPr>
          <w:rFonts w:ascii="Arial" w:hAnsi="Arial" w:cs="Arial"/>
          <w:i/>
          <w:iCs/>
          <w:sz w:val="24"/>
          <w:szCs w:val="24"/>
          <w:highlight w:val="yellow"/>
        </w:rPr>
        <w:t>X</w:t>
      </w:r>
      <w:r w:rsidRPr="00B47845">
        <w:rPr>
          <w:rFonts w:ascii="Arial" w:hAnsi="Arial" w:cs="Arial"/>
          <w:i/>
          <w:iCs/>
          <w:sz w:val="24"/>
          <w:szCs w:val="24"/>
        </w:rPr>
        <w:t xml:space="preserve">] Wochen nach Fertigstellungsmittelung wird eine gemeinsame Begehung von dem Kooperationspartner, xxx und dessen bauausführendem Generalunternehmen durchgeführt und die ausgeführte Arbeit in Augenschein genommen, es sei denn, der Kooperationspartner verzichtet ausdrücklich </w:t>
      </w:r>
      <w:r w:rsidR="001313AC" w:rsidRPr="00B47845">
        <w:rPr>
          <w:rFonts w:ascii="Arial" w:hAnsi="Arial" w:cs="Arial"/>
          <w:i/>
          <w:iCs/>
          <w:sz w:val="24"/>
          <w:szCs w:val="24"/>
        </w:rPr>
        <w:t xml:space="preserve">schriftlich </w:t>
      </w:r>
      <w:r w:rsidRPr="00B47845">
        <w:rPr>
          <w:rFonts w:ascii="Arial" w:hAnsi="Arial" w:cs="Arial"/>
          <w:i/>
          <w:iCs/>
          <w:sz w:val="24"/>
          <w:szCs w:val="24"/>
        </w:rPr>
        <w:t>auf eine solche Schlussbegehung.</w:t>
      </w:r>
    </w:p>
    <w:p w14:paraId="01D0C7F6" w14:textId="775051E0" w:rsidR="003E0603" w:rsidRDefault="003E0603" w:rsidP="00592E8C">
      <w:pPr>
        <w:spacing w:before="160" w:line="276" w:lineRule="auto"/>
        <w:jc w:val="both"/>
        <w:rPr>
          <w:rFonts w:ascii="Arial" w:hAnsi="Arial" w:cs="Arial"/>
          <w:sz w:val="24"/>
          <w:szCs w:val="24"/>
        </w:rPr>
      </w:pPr>
      <w:r w:rsidRPr="00B47845">
        <w:rPr>
          <w:rFonts w:ascii="Arial" w:hAnsi="Arial" w:cs="Arial"/>
          <w:sz w:val="24"/>
          <w:szCs w:val="24"/>
          <w:u w:val="single"/>
        </w:rPr>
        <w:lastRenderedPageBreak/>
        <w:t>Hinweis</w:t>
      </w:r>
      <w:r w:rsidRPr="00B47845">
        <w:rPr>
          <w:rFonts w:ascii="Arial" w:hAnsi="Arial" w:cs="Arial"/>
          <w:sz w:val="24"/>
          <w:szCs w:val="24"/>
        </w:rPr>
        <w:t>: Bezüglich der gemeinsamen Begehung wird eine Frist von zwei Wochen vorgeschlagen.</w:t>
      </w:r>
    </w:p>
    <w:p w14:paraId="4D9AD21A" w14:textId="4297A69D" w:rsidR="00B3571A" w:rsidRPr="00B47845" w:rsidRDefault="00937A53" w:rsidP="00B47845">
      <w:pPr>
        <w:spacing w:before="360"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B47845">
        <w:rPr>
          <w:rFonts w:ascii="Arial" w:hAnsi="Arial" w:cs="Arial"/>
          <w:b/>
          <w:bCs/>
          <w:sz w:val="26"/>
          <w:szCs w:val="26"/>
        </w:rPr>
        <w:t>VI</w:t>
      </w:r>
      <w:r w:rsidR="0096083A" w:rsidRPr="00B47845">
        <w:rPr>
          <w:rFonts w:ascii="Arial" w:hAnsi="Arial" w:cs="Arial"/>
          <w:b/>
          <w:bCs/>
          <w:sz w:val="26"/>
          <w:szCs w:val="26"/>
        </w:rPr>
        <w:t>I</w:t>
      </w:r>
      <w:r w:rsidR="0065679F" w:rsidRPr="00B47845">
        <w:rPr>
          <w:rFonts w:ascii="Arial" w:hAnsi="Arial" w:cs="Arial"/>
          <w:b/>
          <w:bCs/>
          <w:sz w:val="26"/>
          <w:szCs w:val="26"/>
        </w:rPr>
        <w:t>I</w:t>
      </w:r>
      <w:r w:rsidR="00B3571A" w:rsidRPr="00B47845">
        <w:rPr>
          <w:rFonts w:ascii="Arial" w:hAnsi="Arial" w:cs="Arial"/>
          <w:b/>
          <w:bCs/>
          <w:sz w:val="26"/>
          <w:szCs w:val="26"/>
        </w:rPr>
        <w:t xml:space="preserve">. § 15 </w:t>
      </w:r>
      <w:r w:rsidRPr="00B47845">
        <w:rPr>
          <w:rFonts w:ascii="Arial" w:hAnsi="Arial" w:cs="Arial"/>
          <w:b/>
          <w:bCs/>
          <w:sz w:val="26"/>
          <w:szCs w:val="26"/>
        </w:rPr>
        <w:t>Beendigung</w:t>
      </w:r>
      <w:r w:rsidR="00A613F9" w:rsidRPr="00B47845">
        <w:rPr>
          <w:rFonts w:ascii="Arial" w:hAnsi="Arial" w:cs="Arial"/>
          <w:b/>
          <w:bCs/>
          <w:sz w:val="26"/>
          <w:szCs w:val="26"/>
        </w:rPr>
        <w:t xml:space="preserve"> des Vertragsverhältnisses</w:t>
      </w:r>
    </w:p>
    <w:p w14:paraId="17328245" w14:textId="58CEEA37" w:rsidR="00F303D6" w:rsidRPr="00B47845" w:rsidRDefault="00F303D6" w:rsidP="00592E8C">
      <w:pPr>
        <w:spacing w:before="16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7845">
        <w:rPr>
          <w:rFonts w:ascii="Arial" w:hAnsi="Arial" w:cs="Arial"/>
          <w:b/>
          <w:bCs/>
          <w:sz w:val="24"/>
          <w:szCs w:val="24"/>
        </w:rPr>
        <w:t>Abs</w:t>
      </w:r>
      <w:r w:rsidR="00937A53" w:rsidRPr="00B47845">
        <w:rPr>
          <w:rFonts w:ascii="Arial" w:hAnsi="Arial" w:cs="Arial"/>
          <w:b/>
          <w:bCs/>
          <w:sz w:val="24"/>
          <w:szCs w:val="24"/>
        </w:rPr>
        <w:t xml:space="preserve">atz </w:t>
      </w:r>
      <w:r w:rsidR="00056898" w:rsidRPr="00B47845">
        <w:rPr>
          <w:rFonts w:ascii="Arial" w:hAnsi="Arial" w:cs="Arial"/>
          <w:b/>
          <w:bCs/>
          <w:sz w:val="24"/>
          <w:szCs w:val="24"/>
        </w:rPr>
        <w:t>1</w:t>
      </w:r>
      <w:r w:rsidRPr="00B47845">
        <w:rPr>
          <w:rFonts w:ascii="Arial" w:hAnsi="Arial" w:cs="Arial"/>
          <w:b/>
          <w:bCs/>
          <w:sz w:val="24"/>
          <w:szCs w:val="24"/>
        </w:rPr>
        <w:t xml:space="preserve"> Satz 1</w:t>
      </w:r>
    </w:p>
    <w:p w14:paraId="74AD0BD1" w14:textId="68BDD046" w:rsidR="00F303D6" w:rsidRPr="00B47845" w:rsidRDefault="00F303D6" w:rsidP="00592E8C">
      <w:pPr>
        <w:spacing w:before="16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47845">
        <w:rPr>
          <w:rFonts w:ascii="Arial" w:hAnsi="Arial" w:cs="Arial"/>
          <w:i/>
          <w:iCs/>
          <w:sz w:val="24"/>
          <w:szCs w:val="24"/>
        </w:rPr>
        <w:t>Verhält sich eine der Vertragsparteien grob vertragswidrig, kann die jeweils andere Vertragspartei den Vertrag nach erfolgter Abmahnung, die eine Kündigungsandrohung enthalten muss, mit einer Frist von [</w:t>
      </w:r>
      <w:r w:rsidRPr="00B47845">
        <w:rPr>
          <w:rFonts w:ascii="Arial" w:hAnsi="Arial" w:cs="Arial"/>
          <w:i/>
          <w:iCs/>
          <w:sz w:val="24"/>
          <w:szCs w:val="24"/>
          <w:highlight w:val="yellow"/>
        </w:rPr>
        <w:t>X</w:t>
      </w:r>
      <w:r w:rsidRPr="00B47845">
        <w:rPr>
          <w:rFonts w:ascii="Arial" w:hAnsi="Arial" w:cs="Arial"/>
          <w:i/>
          <w:iCs/>
          <w:sz w:val="24"/>
          <w:szCs w:val="24"/>
        </w:rPr>
        <w:t xml:space="preserve">] Monaten zum </w:t>
      </w:r>
      <w:r w:rsidR="008D0F1F" w:rsidRPr="00B47845">
        <w:rPr>
          <w:rFonts w:ascii="Arial" w:hAnsi="Arial" w:cs="Arial"/>
          <w:i/>
          <w:iCs/>
          <w:sz w:val="24"/>
          <w:szCs w:val="24"/>
        </w:rPr>
        <w:t>Monats</w:t>
      </w:r>
      <w:r w:rsidRPr="00B47845">
        <w:rPr>
          <w:rFonts w:ascii="Arial" w:hAnsi="Arial" w:cs="Arial"/>
          <w:i/>
          <w:iCs/>
          <w:sz w:val="24"/>
          <w:szCs w:val="24"/>
        </w:rPr>
        <w:t>ende kündigen.</w:t>
      </w:r>
    </w:p>
    <w:p w14:paraId="056126A0" w14:textId="7343FB24" w:rsidR="00C84303" w:rsidRPr="00B47845" w:rsidRDefault="00C84303" w:rsidP="00592E8C">
      <w:pPr>
        <w:spacing w:before="160" w:line="276" w:lineRule="auto"/>
        <w:jc w:val="both"/>
        <w:rPr>
          <w:rFonts w:ascii="Arial" w:hAnsi="Arial" w:cs="Arial"/>
          <w:sz w:val="24"/>
          <w:szCs w:val="24"/>
        </w:rPr>
      </w:pPr>
      <w:r w:rsidRPr="00B47845">
        <w:rPr>
          <w:rFonts w:ascii="Arial" w:hAnsi="Arial" w:cs="Arial"/>
          <w:sz w:val="24"/>
          <w:szCs w:val="24"/>
          <w:u w:val="single"/>
        </w:rPr>
        <w:t>Hinweis</w:t>
      </w:r>
      <w:r w:rsidRPr="00B47845">
        <w:rPr>
          <w:rFonts w:ascii="Arial" w:hAnsi="Arial" w:cs="Arial"/>
          <w:sz w:val="24"/>
          <w:szCs w:val="24"/>
        </w:rPr>
        <w:t xml:space="preserve">: </w:t>
      </w:r>
      <w:r w:rsidR="00FC3271" w:rsidRPr="00B47845">
        <w:rPr>
          <w:rFonts w:ascii="Arial" w:hAnsi="Arial" w:cs="Arial"/>
          <w:sz w:val="24"/>
          <w:szCs w:val="24"/>
        </w:rPr>
        <w:t xml:space="preserve">In Bezug auf </w:t>
      </w:r>
      <w:r w:rsidR="000C72FA" w:rsidRPr="00B47845">
        <w:rPr>
          <w:rFonts w:ascii="Arial" w:hAnsi="Arial" w:cs="Arial"/>
          <w:sz w:val="24"/>
          <w:szCs w:val="24"/>
        </w:rPr>
        <w:t xml:space="preserve">die </w:t>
      </w:r>
      <w:r w:rsidRPr="00B47845">
        <w:rPr>
          <w:rFonts w:ascii="Arial" w:hAnsi="Arial" w:cs="Arial"/>
          <w:sz w:val="24"/>
          <w:szCs w:val="24"/>
        </w:rPr>
        <w:t xml:space="preserve">Kündigung wird eine Frist von </w:t>
      </w:r>
      <w:r w:rsidR="00D56C2D" w:rsidRPr="00B47845">
        <w:rPr>
          <w:rFonts w:ascii="Arial" w:hAnsi="Arial" w:cs="Arial"/>
          <w:sz w:val="24"/>
          <w:szCs w:val="24"/>
        </w:rPr>
        <w:t xml:space="preserve">drei </w:t>
      </w:r>
      <w:r w:rsidRPr="00B47845">
        <w:rPr>
          <w:rFonts w:ascii="Arial" w:hAnsi="Arial" w:cs="Arial"/>
          <w:sz w:val="24"/>
          <w:szCs w:val="24"/>
        </w:rPr>
        <w:t xml:space="preserve">Monaten </w:t>
      </w:r>
      <w:r w:rsidR="00FC3271" w:rsidRPr="00B47845">
        <w:rPr>
          <w:rFonts w:ascii="Arial" w:hAnsi="Arial" w:cs="Arial"/>
          <w:sz w:val="24"/>
          <w:szCs w:val="24"/>
        </w:rPr>
        <w:t xml:space="preserve">zum </w:t>
      </w:r>
      <w:r w:rsidR="00C04147" w:rsidRPr="00B47845">
        <w:rPr>
          <w:rFonts w:ascii="Arial" w:hAnsi="Arial" w:cs="Arial"/>
          <w:sz w:val="24"/>
          <w:szCs w:val="24"/>
        </w:rPr>
        <w:t>Monats</w:t>
      </w:r>
      <w:r w:rsidR="00FC3271" w:rsidRPr="00B47845">
        <w:rPr>
          <w:rFonts w:ascii="Arial" w:hAnsi="Arial" w:cs="Arial"/>
          <w:sz w:val="24"/>
          <w:szCs w:val="24"/>
        </w:rPr>
        <w:t xml:space="preserve">ende </w:t>
      </w:r>
      <w:r w:rsidRPr="00B47845">
        <w:rPr>
          <w:rFonts w:ascii="Arial" w:hAnsi="Arial" w:cs="Arial"/>
          <w:sz w:val="24"/>
          <w:szCs w:val="24"/>
        </w:rPr>
        <w:t>vorgeschlagen.</w:t>
      </w:r>
    </w:p>
    <w:p w14:paraId="09926D1D" w14:textId="027B41DD" w:rsidR="00F303D6" w:rsidRPr="00B47845" w:rsidRDefault="00F303D6" w:rsidP="00592E8C">
      <w:pPr>
        <w:spacing w:before="16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7845">
        <w:rPr>
          <w:rFonts w:ascii="Arial" w:hAnsi="Arial" w:cs="Arial"/>
          <w:b/>
          <w:bCs/>
          <w:sz w:val="24"/>
          <w:szCs w:val="24"/>
        </w:rPr>
        <w:t>Abs</w:t>
      </w:r>
      <w:r w:rsidR="00937A53" w:rsidRPr="00B47845">
        <w:rPr>
          <w:rFonts w:ascii="Arial" w:hAnsi="Arial" w:cs="Arial"/>
          <w:b/>
          <w:bCs/>
          <w:sz w:val="24"/>
          <w:szCs w:val="24"/>
        </w:rPr>
        <w:t xml:space="preserve">atz </w:t>
      </w:r>
      <w:r w:rsidR="00C8513E" w:rsidRPr="00B47845">
        <w:rPr>
          <w:rFonts w:ascii="Arial" w:hAnsi="Arial" w:cs="Arial"/>
          <w:b/>
          <w:bCs/>
          <w:sz w:val="24"/>
          <w:szCs w:val="24"/>
        </w:rPr>
        <w:t>2</w:t>
      </w:r>
    </w:p>
    <w:p w14:paraId="0DA1F7D1" w14:textId="063DDBFA" w:rsidR="00F303D6" w:rsidRPr="00B47845" w:rsidRDefault="00F303D6" w:rsidP="00592E8C">
      <w:pPr>
        <w:spacing w:before="16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47845">
        <w:rPr>
          <w:rFonts w:ascii="Arial" w:hAnsi="Arial" w:cs="Arial"/>
          <w:i/>
          <w:iCs/>
          <w:sz w:val="24"/>
          <w:szCs w:val="24"/>
        </w:rPr>
        <w:t>xxx ist berechtigt, diesen Vertrag jederzeit außerordentlich mit einer Frist von [</w:t>
      </w:r>
      <w:r w:rsidRPr="00B47845">
        <w:rPr>
          <w:rFonts w:ascii="Arial" w:hAnsi="Arial" w:cs="Arial"/>
          <w:i/>
          <w:iCs/>
          <w:sz w:val="24"/>
          <w:szCs w:val="24"/>
          <w:highlight w:val="yellow"/>
        </w:rPr>
        <w:t>X</w:t>
      </w:r>
      <w:r w:rsidRPr="00B47845">
        <w:rPr>
          <w:rFonts w:ascii="Arial" w:hAnsi="Arial" w:cs="Arial"/>
          <w:i/>
          <w:iCs/>
          <w:sz w:val="24"/>
          <w:szCs w:val="24"/>
        </w:rPr>
        <w:t>] Monaten zum Monatsende zu kündigen, wenn erschwerte Trassenbedingungen zu erheblich höheren Erschließungskosten führen, die zum Zeitpunkt des Vertragsschlusses nicht bekannt waren.</w:t>
      </w:r>
    </w:p>
    <w:p w14:paraId="49655B0A" w14:textId="4D9A659F" w:rsidR="00897347" w:rsidRPr="00B47845" w:rsidRDefault="00C84303" w:rsidP="00592E8C">
      <w:pPr>
        <w:spacing w:before="160" w:line="276" w:lineRule="auto"/>
        <w:jc w:val="both"/>
        <w:rPr>
          <w:rFonts w:ascii="Arial" w:hAnsi="Arial" w:cs="Arial"/>
          <w:sz w:val="24"/>
          <w:szCs w:val="24"/>
        </w:rPr>
      </w:pPr>
      <w:r w:rsidRPr="00B47845">
        <w:rPr>
          <w:rFonts w:ascii="Arial" w:hAnsi="Arial" w:cs="Arial"/>
          <w:sz w:val="24"/>
          <w:szCs w:val="24"/>
          <w:u w:val="single"/>
        </w:rPr>
        <w:t>Hinweis</w:t>
      </w:r>
      <w:r w:rsidRPr="00B47845">
        <w:rPr>
          <w:rFonts w:ascii="Arial" w:hAnsi="Arial" w:cs="Arial"/>
          <w:sz w:val="24"/>
          <w:szCs w:val="24"/>
        </w:rPr>
        <w:t xml:space="preserve">: </w:t>
      </w:r>
      <w:r w:rsidR="00FC3271" w:rsidRPr="00B47845">
        <w:rPr>
          <w:rFonts w:ascii="Arial" w:hAnsi="Arial" w:cs="Arial"/>
          <w:sz w:val="24"/>
          <w:szCs w:val="24"/>
        </w:rPr>
        <w:t xml:space="preserve">Hinsichtlich </w:t>
      </w:r>
      <w:r w:rsidRPr="00B47845">
        <w:rPr>
          <w:rFonts w:ascii="Arial" w:hAnsi="Arial" w:cs="Arial"/>
          <w:sz w:val="24"/>
          <w:szCs w:val="24"/>
        </w:rPr>
        <w:t xml:space="preserve">der außerordentlichen Kündigung </w:t>
      </w:r>
      <w:r w:rsidR="00FC3271" w:rsidRPr="00B47845">
        <w:rPr>
          <w:rFonts w:ascii="Arial" w:hAnsi="Arial" w:cs="Arial"/>
          <w:sz w:val="24"/>
          <w:szCs w:val="24"/>
        </w:rPr>
        <w:t xml:space="preserve">des Telekommunikationsunternehmens </w:t>
      </w:r>
      <w:r w:rsidRPr="00B47845">
        <w:rPr>
          <w:rFonts w:ascii="Arial" w:hAnsi="Arial" w:cs="Arial"/>
          <w:sz w:val="24"/>
          <w:szCs w:val="24"/>
        </w:rPr>
        <w:t xml:space="preserve">wird eine Frist von einem Monat </w:t>
      </w:r>
      <w:r w:rsidR="00FC3271" w:rsidRPr="00B47845">
        <w:rPr>
          <w:rFonts w:ascii="Arial" w:hAnsi="Arial" w:cs="Arial"/>
          <w:sz w:val="24"/>
          <w:szCs w:val="24"/>
        </w:rPr>
        <w:t xml:space="preserve">zum Monatsende </w:t>
      </w:r>
      <w:r w:rsidRPr="00B47845">
        <w:rPr>
          <w:rFonts w:ascii="Arial" w:hAnsi="Arial" w:cs="Arial"/>
          <w:sz w:val="24"/>
          <w:szCs w:val="24"/>
        </w:rPr>
        <w:t>vorgeschlagen.</w:t>
      </w:r>
    </w:p>
    <w:p w14:paraId="72C27A9B" w14:textId="0B3E49AB" w:rsidR="00F303D6" w:rsidRPr="00B47845" w:rsidRDefault="00F303D6" w:rsidP="00592E8C">
      <w:pPr>
        <w:spacing w:before="16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7845">
        <w:rPr>
          <w:rFonts w:ascii="Arial" w:hAnsi="Arial" w:cs="Arial"/>
          <w:b/>
          <w:bCs/>
          <w:sz w:val="24"/>
          <w:szCs w:val="24"/>
        </w:rPr>
        <w:t>Abs</w:t>
      </w:r>
      <w:r w:rsidR="00937A53" w:rsidRPr="00B47845">
        <w:rPr>
          <w:rFonts w:ascii="Arial" w:hAnsi="Arial" w:cs="Arial"/>
          <w:b/>
          <w:bCs/>
          <w:sz w:val="24"/>
          <w:szCs w:val="24"/>
        </w:rPr>
        <w:t xml:space="preserve">atz </w:t>
      </w:r>
      <w:r w:rsidR="00C8513E" w:rsidRPr="00B47845">
        <w:rPr>
          <w:rFonts w:ascii="Arial" w:hAnsi="Arial" w:cs="Arial"/>
          <w:b/>
          <w:bCs/>
          <w:sz w:val="24"/>
          <w:szCs w:val="24"/>
        </w:rPr>
        <w:t>3</w:t>
      </w:r>
      <w:r w:rsidRPr="00B47845">
        <w:rPr>
          <w:rFonts w:ascii="Arial" w:hAnsi="Arial" w:cs="Arial"/>
          <w:b/>
          <w:bCs/>
          <w:sz w:val="24"/>
          <w:szCs w:val="24"/>
        </w:rPr>
        <w:t xml:space="preserve"> Satz 1</w:t>
      </w:r>
    </w:p>
    <w:p w14:paraId="2381A339" w14:textId="0ED98D27" w:rsidR="007A1FD5" w:rsidRPr="00B47845" w:rsidRDefault="00F303D6" w:rsidP="00592E8C">
      <w:pPr>
        <w:spacing w:before="16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47845">
        <w:rPr>
          <w:rFonts w:ascii="Arial" w:hAnsi="Arial" w:cs="Arial"/>
          <w:i/>
          <w:iCs/>
          <w:sz w:val="24"/>
          <w:szCs w:val="24"/>
        </w:rPr>
        <w:t>Der Kooperationspartner ist berechtigt, diesen Vertrag jederzeit außerordentlich mit einer Frist von [</w:t>
      </w:r>
      <w:r w:rsidRPr="00B47845">
        <w:rPr>
          <w:rFonts w:ascii="Arial" w:hAnsi="Arial" w:cs="Arial"/>
          <w:i/>
          <w:iCs/>
          <w:sz w:val="24"/>
          <w:szCs w:val="24"/>
          <w:highlight w:val="yellow"/>
        </w:rPr>
        <w:t>X</w:t>
      </w:r>
      <w:r w:rsidRPr="00B47845">
        <w:rPr>
          <w:rFonts w:ascii="Arial" w:hAnsi="Arial" w:cs="Arial"/>
          <w:i/>
          <w:iCs/>
          <w:sz w:val="24"/>
          <w:szCs w:val="24"/>
        </w:rPr>
        <w:t>] Monaten zum Monatsende zu kündigen, wenn ein grober Verzug</w:t>
      </w:r>
      <w:r w:rsidR="00A47C49" w:rsidRPr="00B47845">
        <w:rPr>
          <w:rFonts w:ascii="Arial" w:hAnsi="Arial" w:cs="Arial"/>
          <w:i/>
          <w:iCs/>
          <w:sz w:val="24"/>
          <w:szCs w:val="24"/>
        </w:rPr>
        <w:t>, eine nachträgliche erhebliche Verringerung des Ausbaugebiets</w:t>
      </w:r>
      <w:r w:rsidRPr="00B47845">
        <w:rPr>
          <w:rFonts w:ascii="Arial" w:hAnsi="Arial" w:cs="Arial"/>
          <w:i/>
          <w:iCs/>
          <w:sz w:val="24"/>
          <w:szCs w:val="24"/>
        </w:rPr>
        <w:t xml:space="preserve"> oder ein vorläufiges Scheitern des geplanten Ausbauprojekts vorliegt.</w:t>
      </w:r>
    </w:p>
    <w:p w14:paraId="1EF59F9B" w14:textId="7ED999B8" w:rsidR="007A1FD5" w:rsidRPr="00B47845" w:rsidRDefault="00C84303" w:rsidP="00592E8C">
      <w:pPr>
        <w:spacing w:before="160" w:line="276" w:lineRule="auto"/>
        <w:jc w:val="both"/>
        <w:rPr>
          <w:rFonts w:ascii="Arial" w:hAnsi="Arial" w:cs="Arial"/>
          <w:sz w:val="24"/>
          <w:szCs w:val="24"/>
        </w:rPr>
      </w:pPr>
      <w:r w:rsidRPr="00B47845">
        <w:rPr>
          <w:rFonts w:ascii="Arial" w:hAnsi="Arial" w:cs="Arial"/>
          <w:sz w:val="24"/>
          <w:szCs w:val="24"/>
          <w:u w:val="single"/>
        </w:rPr>
        <w:t>Hinweis</w:t>
      </w:r>
      <w:r w:rsidRPr="00B47845">
        <w:rPr>
          <w:rFonts w:ascii="Arial" w:hAnsi="Arial" w:cs="Arial"/>
          <w:sz w:val="24"/>
          <w:szCs w:val="24"/>
        </w:rPr>
        <w:t xml:space="preserve">: </w:t>
      </w:r>
      <w:r w:rsidR="00FC3271" w:rsidRPr="00B47845">
        <w:rPr>
          <w:rFonts w:ascii="Arial" w:hAnsi="Arial" w:cs="Arial"/>
          <w:sz w:val="24"/>
          <w:szCs w:val="24"/>
        </w:rPr>
        <w:t>Bezüglich der außerordentlichen Kündigung durch den Kooperationspartner wird eine Frist von einem Monat zum Monatsende vorgeschlagen.</w:t>
      </w:r>
    </w:p>
    <w:sectPr w:rsidR="007A1FD5" w:rsidRPr="00B4784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A6EC" w14:textId="77777777" w:rsidR="005A552F" w:rsidRDefault="005A552F" w:rsidP="007A1FD5">
      <w:pPr>
        <w:spacing w:after="0" w:line="240" w:lineRule="auto"/>
      </w:pPr>
      <w:r>
        <w:separator/>
      </w:r>
    </w:p>
  </w:endnote>
  <w:endnote w:type="continuationSeparator" w:id="0">
    <w:p w14:paraId="6563039F" w14:textId="77777777" w:rsidR="005A552F" w:rsidRDefault="005A552F" w:rsidP="007A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8898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7C18A" w14:textId="46D7F09C" w:rsidR="00937A53" w:rsidRDefault="00937A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D5927B" w14:textId="77777777" w:rsidR="007A1FD5" w:rsidRDefault="007A1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3CAE" w14:textId="77777777" w:rsidR="005A552F" w:rsidRDefault="005A552F" w:rsidP="007A1FD5">
      <w:pPr>
        <w:spacing w:after="0" w:line="240" w:lineRule="auto"/>
      </w:pPr>
      <w:r>
        <w:separator/>
      </w:r>
    </w:p>
  </w:footnote>
  <w:footnote w:type="continuationSeparator" w:id="0">
    <w:p w14:paraId="79FE1FBA" w14:textId="77777777" w:rsidR="005A552F" w:rsidRDefault="005A552F" w:rsidP="007A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622A" w14:textId="1C391AA1" w:rsidR="007A1FD5" w:rsidRDefault="007A1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306D"/>
    <w:multiLevelType w:val="hybridMultilevel"/>
    <w:tmpl w:val="1ECE1B16"/>
    <w:lvl w:ilvl="0" w:tplc="DA742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84C1A"/>
    <w:multiLevelType w:val="hybridMultilevel"/>
    <w:tmpl w:val="CE1EF7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15014"/>
    <w:multiLevelType w:val="hybridMultilevel"/>
    <w:tmpl w:val="D366A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682945">
    <w:abstractNumId w:val="2"/>
  </w:num>
  <w:num w:numId="2" w16cid:durableId="1217619293">
    <w:abstractNumId w:val="1"/>
  </w:num>
  <w:num w:numId="3" w16cid:durableId="60273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7D"/>
    <w:rsid w:val="00053D17"/>
    <w:rsid w:val="00056898"/>
    <w:rsid w:val="0006147B"/>
    <w:rsid w:val="000620D3"/>
    <w:rsid w:val="0007548C"/>
    <w:rsid w:val="00094977"/>
    <w:rsid w:val="000C72FA"/>
    <w:rsid w:val="001063EA"/>
    <w:rsid w:val="00116D06"/>
    <w:rsid w:val="00123F91"/>
    <w:rsid w:val="001313AC"/>
    <w:rsid w:val="0017733E"/>
    <w:rsid w:val="00181671"/>
    <w:rsid w:val="001A5FC9"/>
    <w:rsid w:val="001C5C38"/>
    <w:rsid w:val="001C6E02"/>
    <w:rsid w:val="001D0E59"/>
    <w:rsid w:val="001E2734"/>
    <w:rsid w:val="001E3C89"/>
    <w:rsid w:val="001F10E7"/>
    <w:rsid w:val="001F79E4"/>
    <w:rsid w:val="00205A27"/>
    <w:rsid w:val="00210E9C"/>
    <w:rsid w:val="002272D8"/>
    <w:rsid w:val="00236A4B"/>
    <w:rsid w:val="00241DD7"/>
    <w:rsid w:val="00241ECD"/>
    <w:rsid w:val="00245E48"/>
    <w:rsid w:val="00247F67"/>
    <w:rsid w:val="00263B9C"/>
    <w:rsid w:val="0026423C"/>
    <w:rsid w:val="0026512D"/>
    <w:rsid w:val="00265DA8"/>
    <w:rsid w:val="002710B0"/>
    <w:rsid w:val="002771E2"/>
    <w:rsid w:val="002929E1"/>
    <w:rsid w:val="002A1D51"/>
    <w:rsid w:val="002A22D4"/>
    <w:rsid w:val="002B070B"/>
    <w:rsid w:val="002B4B4C"/>
    <w:rsid w:val="002D3F0C"/>
    <w:rsid w:val="002E4751"/>
    <w:rsid w:val="002F0083"/>
    <w:rsid w:val="0031024D"/>
    <w:rsid w:val="00327E18"/>
    <w:rsid w:val="00341426"/>
    <w:rsid w:val="0034481F"/>
    <w:rsid w:val="00345920"/>
    <w:rsid w:val="00353791"/>
    <w:rsid w:val="00361A94"/>
    <w:rsid w:val="0036681A"/>
    <w:rsid w:val="0037490A"/>
    <w:rsid w:val="003862D2"/>
    <w:rsid w:val="003B580B"/>
    <w:rsid w:val="003D5B99"/>
    <w:rsid w:val="003E0603"/>
    <w:rsid w:val="004102C0"/>
    <w:rsid w:val="004232D5"/>
    <w:rsid w:val="00423AA0"/>
    <w:rsid w:val="004450C9"/>
    <w:rsid w:val="004C4F3D"/>
    <w:rsid w:val="004F3ECE"/>
    <w:rsid w:val="004F6677"/>
    <w:rsid w:val="005001DD"/>
    <w:rsid w:val="005156A1"/>
    <w:rsid w:val="00531058"/>
    <w:rsid w:val="00531B4C"/>
    <w:rsid w:val="00535695"/>
    <w:rsid w:val="005359ED"/>
    <w:rsid w:val="00542323"/>
    <w:rsid w:val="00546A25"/>
    <w:rsid w:val="00560EDF"/>
    <w:rsid w:val="00563D59"/>
    <w:rsid w:val="005649AE"/>
    <w:rsid w:val="00575135"/>
    <w:rsid w:val="0058467D"/>
    <w:rsid w:val="00592E8C"/>
    <w:rsid w:val="005A552F"/>
    <w:rsid w:val="005B7566"/>
    <w:rsid w:val="005C2326"/>
    <w:rsid w:val="005E784E"/>
    <w:rsid w:val="00626FDF"/>
    <w:rsid w:val="0065679F"/>
    <w:rsid w:val="00673118"/>
    <w:rsid w:val="00685630"/>
    <w:rsid w:val="00686238"/>
    <w:rsid w:val="006E148F"/>
    <w:rsid w:val="006E776C"/>
    <w:rsid w:val="006F51CE"/>
    <w:rsid w:val="00707A15"/>
    <w:rsid w:val="00711178"/>
    <w:rsid w:val="00774526"/>
    <w:rsid w:val="0077482E"/>
    <w:rsid w:val="007A1FD5"/>
    <w:rsid w:val="007A58B4"/>
    <w:rsid w:val="007C002E"/>
    <w:rsid w:val="007C6482"/>
    <w:rsid w:val="007F56FD"/>
    <w:rsid w:val="008000AF"/>
    <w:rsid w:val="0080646D"/>
    <w:rsid w:val="00845FC3"/>
    <w:rsid w:val="008605AE"/>
    <w:rsid w:val="00897347"/>
    <w:rsid w:val="008973A7"/>
    <w:rsid w:val="008D0F1F"/>
    <w:rsid w:val="008D5C98"/>
    <w:rsid w:val="008F2FAF"/>
    <w:rsid w:val="008F5A10"/>
    <w:rsid w:val="00922150"/>
    <w:rsid w:val="009257A7"/>
    <w:rsid w:val="00937A53"/>
    <w:rsid w:val="00940223"/>
    <w:rsid w:val="0096083A"/>
    <w:rsid w:val="00983FF4"/>
    <w:rsid w:val="0098770F"/>
    <w:rsid w:val="009A5220"/>
    <w:rsid w:val="009E7A3E"/>
    <w:rsid w:val="00A05372"/>
    <w:rsid w:val="00A166C2"/>
    <w:rsid w:val="00A33482"/>
    <w:rsid w:val="00A455BE"/>
    <w:rsid w:val="00A47C49"/>
    <w:rsid w:val="00A56892"/>
    <w:rsid w:val="00A613F9"/>
    <w:rsid w:val="00A62F83"/>
    <w:rsid w:val="00A706A7"/>
    <w:rsid w:val="00A77F9B"/>
    <w:rsid w:val="00A93D8A"/>
    <w:rsid w:val="00AA4FC5"/>
    <w:rsid w:val="00AA57E5"/>
    <w:rsid w:val="00AE78BC"/>
    <w:rsid w:val="00AF564D"/>
    <w:rsid w:val="00B3463B"/>
    <w:rsid w:val="00B3571A"/>
    <w:rsid w:val="00B36CDD"/>
    <w:rsid w:val="00B413EF"/>
    <w:rsid w:val="00B47845"/>
    <w:rsid w:val="00B5671C"/>
    <w:rsid w:val="00B57508"/>
    <w:rsid w:val="00B7049D"/>
    <w:rsid w:val="00B7407D"/>
    <w:rsid w:val="00B86B13"/>
    <w:rsid w:val="00B925E5"/>
    <w:rsid w:val="00B92A5F"/>
    <w:rsid w:val="00BA52D4"/>
    <w:rsid w:val="00BB1299"/>
    <w:rsid w:val="00C04147"/>
    <w:rsid w:val="00C07500"/>
    <w:rsid w:val="00C0769C"/>
    <w:rsid w:val="00C305CA"/>
    <w:rsid w:val="00C67D72"/>
    <w:rsid w:val="00C84303"/>
    <w:rsid w:val="00C8513E"/>
    <w:rsid w:val="00CA0989"/>
    <w:rsid w:val="00CA462F"/>
    <w:rsid w:val="00CC2340"/>
    <w:rsid w:val="00CE34AE"/>
    <w:rsid w:val="00CF7407"/>
    <w:rsid w:val="00D13445"/>
    <w:rsid w:val="00D21E68"/>
    <w:rsid w:val="00D46200"/>
    <w:rsid w:val="00D56C2D"/>
    <w:rsid w:val="00D66D3B"/>
    <w:rsid w:val="00D957AD"/>
    <w:rsid w:val="00DB1126"/>
    <w:rsid w:val="00DC3565"/>
    <w:rsid w:val="00DD177F"/>
    <w:rsid w:val="00E03895"/>
    <w:rsid w:val="00E05C69"/>
    <w:rsid w:val="00E137DC"/>
    <w:rsid w:val="00E33FF3"/>
    <w:rsid w:val="00E34062"/>
    <w:rsid w:val="00E63C24"/>
    <w:rsid w:val="00E82C57"/>
    <w:rsid w:val="00EC2E79"/>
    <w:rsid w:val="00EC490E"/>
    <w:rsid w:val="00EE0904"/>
    <w:rsid w:val="00EE6B2F"/>
    <w:rsid w:val="00EE75B7"/>
    <w:rsid w:val="00F14256"/>
    <w:rsid w:val="00F303D6"/>
    <w:rsid w:val="00F31756"/>
    <w:rsid w:val="00F31BCF"/>
    <w:rsid w:val="00F35809"/>
    <w:rsid w:val="00F5500F"/>
    <w:rsid w:val="00F731DC"/>
    <w:rsid w:val="00F76100"/>
    <w:rsid w:val="00FA591F"/>
    <w:rsid w:val="00FC3271"/>
    <w:rsid w:val="00F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1F5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FD5"/>
  </w:style>
  <w:style w:type="paragraph" w:styleId="Footer">
    <w:name w:val="footer"/>
    <w:basedOn w:val="Normal"/>
    <w:link w:val="FooterChar"/>
    <w:uiPriority w:val="99"/>
    <w:unhideWhenUsed/>
    <w:rsid w:val="007A1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FD5"/>
  </w:style>
  <w:style w:type="character" w:styleId="CommentReference">
    <w:name w:val="annotation reference"/>
    <w:basedOn w:val="DefaultParagraphFont"/>
    <w:uiPriority w:val="99"/>
    <w:semiHidden/>
    <w:unhideWhenUsed/>
    <w:rsid w:val="00361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1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1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A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3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8E4B5-9418-4A80-9825-926DED12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2023-11-02T16:15:00Z</dcterms:created>
  <dcterms:modified xsi:type="dcterms:W3CDTF">2024-01-25T12:23:00Z</dcterms:modified>
</cp:coreProperties>
</file>